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2BC" w:rsidRPr="00651260" w:rsidRDefault="00F56101" w:rsidP="00651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3"/>
          <w:lang w:eastAsia="pl-PL"/>
        </w:rPr>
        <w:t>PRZEDMIOTOWE</w:t>
      </w:r>
      <w:r w:rsidR="004A48EB">
        <w:rPr>
          <w:rFonts w:ascii="Times New Roman" w:eastAsia="Times New Roman" w:hAnsi="Times New Roman" w:cs="Times New Roman"/>
          <w:b/>
          <w:sz w:val="24"/>
          <w:szCs w:val="23"/>
          <w:lang w:eastAsia="pl-PL"/>
        </w:rPr>
        <w:t xml:space="preserve"> ZASADY OCENIANIA</w:t>
      </w:r>
      <w:r w:rsidR="00B30069">
        <w:rPr>
          <w:rFonts w:ascii="Times New Roman" w:eastAsia="Times New Roman" w:hAnsi="Times New Roman" w:cs="Times New Roman"/>
          <w:b/>
          <w:sz w:val="24"/>
          <w:szCs w:val="23"/>
          <w:lang w:eastAsia="pl-PL"/>
        </w:rPr>
        <w:t xml:space="preserve"> Z JĘZYKA POLSKIEGO DLA KLASY V</w:t>
      </w:r>
      <w:r w:rsidR="001E22BC" w:rsidRPr="001E22BC">
        <w:rPr>
          <w:rFonts w:ascii="Times New Roman" w:eastAsia="Times New Roman" w:hAnsi="Times New Roman" w:cs="Times New Roman"/>
          <w:b/>
          <w:sz w:val="24"/>
          <w:szCs w:val="23"/>
          <w:lang w:eastAsia="pl-PL"/>
        </w:rPr>
        <w:t xml:space="preserve"> SP</w:t>
      </w:r>
      <w:r w:rsidR="00651260">
        <w:rPr>
          <w:rFonts w:ascii="Times New Roman" w:eastAsia="Times New Roman" w:hAnsi="Times New Roman" w:cs="Times New Roman"/>
          <w:b/>
          <w:sz w:val="24"/>
          <w:szCs w:val="23"/>
          <w:lang w:eastAsia="pl-PL"/>
        </w:rPr>
        <w:br/>
      </w:r>
    </w:p>
    <w:p w:rsidR="001E22BC" w:rsidRPr="0087168A" w:rsidRDefault="001E22BC" w:rsidP="001E22BC">
      <w:pPr>
        <w:jc w:val="both"/>
        <w:rPr>
          <w:rFonts w:ascii="Times New Roman" w:hAnsi="Times New Roman" w:cs="Times New Roman"/>
        </w:rPr>
      </w:pPr>
      <w:r w:rsidRPr="0087168A">
        <w:rPr>
          <w:rFonts w:ascii="Times New Roman" w:hAnsi="Times New Roman" w:cs="Times New Roman"/>
          <w:b/>
        </w:rPr>
        <w:t>Nauczyciel:</w:t>
      </w:r>
      <w:r w:rsidRPr="0087168A">
        <w:rPr>
          <w:rFonts w:ascii="Times New Roman" w:hAnsi="Times New Roman" w:cs="Times New Roman"/>
        </w:rPr>
        <w:t xml:space="preserve"> </w:t>
      </w:r>
      <w:r w:rsidRPr="00F56101">
        <w:rPr>
          <w:rFonts w:ascii="Times New Roman" w:hAnsi="Times New Roman" w:cs="Times New Roman"/>
          <w:sz w:val="28"/>
        </w:rPr>
        <w:t>Martyna Woźnica</w:t>
      </w:r>
    </w:p>
    <w:p w:rsidR="00B30069" w:rsidRDefault="0052179B" w:rsidP="00613E8D">
      <w:pPr>
        <w:jc w:val="both"/>
        <w:rPr>
          <w:rFonts w:ascii="Times New Roman" w:hAnsi="Times New Roman" w:cs="Times New Roman"/>
          <w:sz w:val="24"/>
        </w:rPr>
      </w:pPr>
      <w:r w:rsidRPr="00952409">
        <w:rPr>
          <w:rFonts w:ascii="Times New Roman" w:hAnsi="Times New Roman" w:cs="Times New Roman"/>
          <w:b/>
          <w:sz w:val="24"/>
        </w:rPr>
        <w:t>Podręcznik:</w:t>
      </w:r>
      <w:r w:rsidRPr="00952409">
        <w:rPr>
          <w:rFonts w:ascii="Times New Roman" w:hAnsi="Times New Roman" w:cs="Times New Roman"/>
          <w:sz w:val="24"/>
        </w:rPr>
        <w:t xml:space="preserve"> A. Klimowicz, M. </w:t>
      </w:r>
      <w:proofErr w:type="spellStart"/>
      <w:r w:rsidRPr="00952409">
        <w:rPr>
          <w:rFonts w:ascii="Times New Roman" w:hAnsi="Times New Roman" w:cs="Times New Roman"/>
          <w:sz w:val="24"/>
        </w:rPr>
        <w:t>Derlukiewicz</w:t>
      </w:r>
      <w:proofErr w:type="spellEnd"/>
      <w:r w:rsidRPr="00952409">
        <w:rPr>
          <w:rFonts w:ascii="Times New Roman" w:hAnsi="Times New Roman" w:cs="Times New Roman"/>
          <w:sz w:val="24"/>
        </w:rPr>
        <w:t xml:space="preserve">, </w:t>
      </w:r>
      <w:r w:rsidR="006A4CE7">
        <w:rPr>
          <w:rFonts w:ascii="Times New Roman" w:hAnsi="Times New Roman" w:cs="Times New Roman"/>
          <w:i/>
          <w:sz w:val="24"/>
        </w:rPr>
        <w:t>NOWE słowa na start!</w:t>
      </w:r>
      <w:bookmarkStart w:id="0" w:name="_GoBack"/>
      <w:bookmarkEnd w:id="0"/>
      <w:r w:rsidRPr="00952409">
        <w:rPr>
          <w:rFonts w:ascii="Times New Roman" w:hAnsi="Times New Roman" w:cs="Times New Roman"/>
          <w:i/>
          <w:sz w:val="24"/>
        </w:rPr>
        <w:t xml:space="preserve"> </w:t>
      </w:r>
      <w:r w:rsidR="00105DF2">
        <w:rPr>
          <w:rFonts w:ascii="Times New Roman" w:hAnsi="Times New Roman" w:cs="Times New Roman"/>
          <w:sz w:val="24"/>
        </w:rPr>
        <w:t xml:space="preserve">klasa </w:t>
      </w:r>
      <w:r w:rsidRPr="00952409">
        <w:rPr>
          <w:rFonts w:ascii="Times New Roman" w:hAnsi="Times New Roman" w:cs="Times New Roman"/>
          <w:sz w:val="24"/>
        </w:rPr>
        <w:t xml:space="preserve">V </w:t>
      </w:r>
    </w:p>
    <w:p w:rsidR="00613E8D" w:rsidRPr="00105DF2" w:rsidRDefault="00613E8D" w:rsidP="00613E8D">
      <w:pPr>
        <w:jc w:val="both"/>
        <w:rPr>
          <w:rFonts w:ascii="Times New Roman" w:hAnsi="Times New Roman" w:cs="Times New Roman"/>
          <w:sz w:val="24"/>
        </w:rPr>
      </w:pPr>
      <w:r w:rsidRPr="00105DF2">
        <w:rPr>
          <w:rFonts w:ascii="Times New Roman" w:hAnsi="Times New Roman" w:cs="Times New Roman"/>
          <w:sz w:val="24"/>
        </w:rPr>
        <w:t xml:space="preserve">Zasady poprawiania ocen, przygotowania do sprawdzianów, prac klasowych, kartkówek, przedziały procentowe decydujące o ocenie, nagradzanie uczniów za udział w konkursach i inne ustalenia związane z ocenianiem uczniów reguluje WO. </w:t>
      </w:r>
    </w:p>
    <w:p w:rsidR="00613E8D" w:rsidRPr="00105DF2" w:rsidRDefault="00613E8D" w:rsidP="00613E8D">
      <w:pPr>
        <w:jc w:val="both"/>
        <w:rPr>
          <w:rFonts w:ascii="Times New Roman" w:hAnsi="Times New Roman" w:cs="Times New Roman"/>
          <w:sz w:val="24"/>
        </w:rPr>
      </w:pPr>
      <w:r w:rsidRPr="00105DF2">
        <w:rPr>
          <w:rFonts w:ascii="Times New Roman" w:hAnsi="Times New Roman" w:cs="Times New Roman"/>
          <w:sz w:val="24"/>
        </w:rPr>
        <w:t>Na ocenę śródroczną i roczną składają się wszystkie oceny cząstkowe obli</w:t>
      </w:r>
      <w:r w:rsidR="00CB6B8C">
        <w:rPr>
          <w:rFonts w:ascii="Times New Roman" w:hAnsi="Times New Roman" w:cs="Times New Roman"/>
          <w:sz w:val="24"/>
        </w:rPr>
        <w:t>czane systemem średniej ważonej.</w:t>
      </w:r>
    </w:p>
    <w:p w:rsidR="0052179B" w:rsidRPr="00952409" w:rsidRDefault="0052179B" w:rsidP="00613E8D">
      <w:pPr>
        <w:jc w:val="both"/>
        <w:rPr>
          <w:rFonts w:ascii="Times New Roman" w:hAnsi="Times New Roman" w:cs="Times New Roman"/>
          <w:b/>
          <w:sz w:val="24"/>
        </w:rPr>
      </w:pPr>
      <w:r w:rsidRPr="00952409">
        <w:rPr>
          <w:rFonts w:ascii="Times New Roman" w:hAnsi="Times New Roman" w:cs="Times New Roman"/>
          <w:b/>
          <w:sz w:val="24"/>
        </w:rPr>
        <w:t xml:space="preserve">Formy </w:t>
      </w:r>
      <w:r w:rsidR="00613E8D" w:rsidRPr="00952409">
        <w:rPr>
          <w:rFonts w:ascii="Times New Roman" w:hAnsi="Times New Roman" w:cs="Times New Roman"/>
          <w:b/>
          <w:sz w:val="24"/>
        </w:rPr>
        <w:t>sprawdzania wiedzy i umiejętności uczniów</w:t>
      </w:r>
      <w:r w:rsidR="00D54947" w:rsidRPr="00952409">
        <w:rPr>
          <w:rFonts w:ascii="Times New Roman" w:hAnsi="Times New Roman" w:cs="Times New Roman"/>
          <w:b/>
          <w:sz w:val="24"/>
        </w:rPr>
        <w:t>:</w:t>
      </w:r>
      <w:r w:rsidRPr="00952409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ela-Siatka"/>
        <w:tblW w:w="11056" w:type="dxa"/>
        <w:tblInd w:w="-714" w:type="dxa"/>
        <w:tblLook w:val="04A0" w:firstRow="1" w:lastRow="0" w:firstColumn="1" w:lastColumn="0" w:noHBand="0" w:noVBand="1"/>
      </w:tblPr>
      <w:tblGrid>
        <w:gridCol w:w="2524"/>
        <w:gridCol w:w="766"/>
        <w:gridCol w:w="7766"/>
      </w:tblGrid>
      <w:tr w:rsidR="00EE470B" w:rsidRPr="0087168A" w:rsidTr="007B01A2">
        <w:trPr>
          <w:trHeight w:val="228"/>
        </w:trPr>
        <w:tc>
          <w:tcPr>
            <w:tcW w:w="2524" w:type="dxa"/>
            <w:vAlign w:val="center"/>
          </w:tcPr>
          <w:p w:rsidR="00EE470B" w:rsidRPr="001D3579" w:rsidRDefault="00EE470B" w:rsidP="00D549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Forma</w:t>
            </w:r>
          </w:p>
        </w:tc>
        <w:tc>
          <w:tcPr>
            <w:tcW w:w="766" w:type="dxa"/>
            <w:vAlign w:val="center"/>
          </w:tcPr>
          <w:p w:rsidR="00EE470B" w:rsidRPr="00EE470B" w:rsidRDefault="00EE470B" w:rsidP="000E0181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E470B">
              <w:rPr>
                <w:rFonts w:ascii="Times New Roman" w:hAnsi="Times New Roman" w:cs="Times New Roman"/>
                <w:b/>
                <w:szCs w:val="24"/>
              </w:rPr>
              <w:t>Waga</w:t>
            </w:r>
          </w:p>
        </w:tc>
        <w:tc>
          <w:tcPr>
            <w:tcW w:w="7766" w:type="dxa"/>
          </w:tcPr>
          <w:p w:rsidR="00EE470B" w:rsidRPr="00EE470B" w:rsidRDefault="00EE470B" w:rsidP="00EE470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Opis</w:t>
            </w:r>
          </w:p>
        </w:tc>
      </w:tr>
      <w:tr w:rsidR="00CB6B8C" w:rsidRPr="0087168A" w:rsidTr="007B01A2">
        <w:trPr>
          <w:trHeight w:val="228"/>
        </w:trPr>
        <w:tc>
          <w:tcPr>
            <w:tcW w:w="2524" w:type="dxa"/>
            <w:vMerge w:val="restart"/>
            <w:vAlign w:val="center"/>
          </w:tcPr>
          <w:p w:rsidR="00CB6B8C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Aktywność na lekcji</w:t>
            </w:r>
          </w:p>
          <w:p w:rsidR="00CB6B8C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Przygotowanie do zajęć, </w:t>
            </w:r>
          </w:p>
          <w:p w:rsidR="00CB6B8C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Zadania dodatkowe</w:t>
            </w:r>
          </w:p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766" w:type="dxa"/>
          </w:tcPr>
          <w:p w:rsidR="00CB6B8C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Uczeń ma prawo do </w:t>
            </w:r>
            <w:r>
              <w:rPr>
                <w:rFonts w:ascii="Times New Roman" w:hAnsi="Times New Roman" w:cs="Times New Roman"/>
                <w:b/>
                <w:szCs w:val="24"/>
              </w:rPr>
              <w:t>dwó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ch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 nieprzygotowań w semestrze bez poniesienia konsekwencji (brak zadania, brak zeszytu, ćwiczeń, podręcznika, tekstu lektury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lekturownika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itp.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). Warunkiem jest zgłoszenie go na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 xml:space="preserve">początku lekcji. 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Zostaje to odnotowane w </w:t>
            </w:r>
            <w:r>
              <w:rPr>
                <w:rFonts w:ascii="Times New Roman" w:hAnsi="Times New Roman" w:cs="Times New Roman"/>
                <w:szCs w:val="24"/>
              </w:rPr>
              <w:t>dzienniku.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Trzy nieprzygotowania dają ocenę niedostateczną.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b/>
                <w:szCs w:val="24"/>
              </w:rPr>
              <w:t>Jeśli uczeń nie przyznał się do braku zadania domowego i podczas jego sprawdzania okazuje się, że go nie posiada otrzymuje ocenę niedostateczną (wpisaną do zeszytu do podpisu dla rodzica) oraz punkty ujemne z zachowania za próbę oszustwa nauczyciela.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CB6B8C" w:rsidRPr="0087168A" w:rsidTr="007B01A2">
        <w:trPr>
          <w:trHeight w:val="228"/>
        </w:trPr>
        <w:tc>
          <w:tcPr>
            <w:tcW w:w="2524" w:type="dxa"/>
            <w:vMerge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6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766" w:type="dxa"/>
          </w:tcPr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Aktywność na lekcji nagradzana jest </w:t>
            </w:r>
            <w:r>
              <w:rPr>
                <w:rFonts w:ascii="Times New Roman" w:hAnsi="Times New Roman" w:cs="Times New Roman"/>
                <w:szCs w:val="24"/>
              </w:rPr>
              <w:t xml:space="preserve">oceną bardzo dobrą lub celującą – w zależności od jej stopnia. </w:t>
            </w:r>
          </w:p>
        </w:tc>
      </w:tr>
      <w:tr w:rsidR="00CB6B8C" w:rsidRPr="0087168A" w:rsidTr="007B01A2">
        <w:trPr>
          <w:trHeight w:val="228"/>
        </w:trPr>
        <w:tc>
          <w:tcPr>
            <w:tcW w:w="2524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Kartkówka z ostatniego tematu</w:t>
            </w:r>
          </w:p>
        </w:tc>
        <w:tc>
          <w:tcPr>
            <w:tcW w:w="766" w:type="dxa"/>
            <w:vAlign w:val="center"/>
          </w:tcPr>
          <w:p w:rsidR="00CB6B8C" w:rsidRDefault="00CB6B8C" w:rsidP="00CB6B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766" w:type="dxa"/>
          </w:tcPr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Może być zapowiedziana z dnia na dzień lub nie. Dotyczy ostatniego omawianego materiału. Może odbywać się na zakończenie lekcji jako podsumowanie. Trwa maksymalnie 15 minut. </w:t>
            </w:r>
            <w:r w:rsidR="0097674D">
              <w:rPr>
                <w:rFonts w:ascii="Times New Roman" w:hAnsi="Times New Roman" w:cs="Times New Roman"/>
                <w:szCs w:val="24"/>
              </w:rPr>
              <w:t xml:space="preserve"> Nie podlega poprawie</w:t>
            </w:r>
          </w:p>
        </w:tc>
      </w:tr>
      <w:tr w:rsidR="00CB6B8C" w:rsidRPr="0087168A" w:rsidTr="007B01A2">
        <w:trPr>
          <w:trHeight w:val="228"/>
        </w:trPr>
        <w:tc>
          <w:tcPr>
            <w:tcW w:w="2524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579">
              <w:rPr>
                <w:rFonts w:ascii="Times New Roman" w:hAnsi="Times New Roman" w:cs="Times New Roman"/>
                <w:b/>
              </w:rPr>
              <w:t>Czytanie</w:t>
            </w:r>
          </w:p>
        </w:tc>
        <w:tc>
          <w:tcPr>
            <w:tcW w:w="766" w:type="dxa"/>
            <w:vAlign w:val="center"/>
          </w:tcPr>
          <w:p w:rsidR="00CB6B8C" w:rsidRPr="000E0181" w:rsidRDefault="00CB6B8C" w:rsidP="00CB6B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E018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766" w:type="dxa"/>
          </w:tcPr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U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czniowie otrzymują ocenę za czytanie. Oceniana jest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 xml:space="preserve">płynność, dykcja, interpretacja tekstu, właściwa intonacja, przestankowanie, tempo, stopień zrozumienia 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 Uczeń, który otrzymał słaby stopień (</w:t>
            </w:r>
            <w:proofErr w:type="spellStart"/>
            <w:r w:rsidRPr="001D3579">
              <w:rPr>
                <w:rFonts w:ascii="Times New Roman" w:hAnsi="Times New Roman" w:cs="Times New Roman"/>
                <w:szCs w:val="24"/>
              </w:rPr>
              <w:t>ndst</w:t>
            </w:r>
            <w:proofErr w:type="spellEnd"/>
            <w:r w:rsidRPr="001D3579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1D3579">
              <w:rPr>
                <w:rFonts w:ascii="Times New Roman" w:hAnsi="Times New Roman" w:cs="Times New Roman"/>
                <w:szCs w:val="24"/>
              </w:rPr>
              <w:t>dop</w:t>
            </w:r>
            <w:proofErr w:type="spellEnd"/>
            <w:r w:rsidRPr="001D3579">
              <w:rPr>
                <w:rFonts w:ascii="Times New Roman" w:hAnsi="Times New Roman" w:cs="Times New Roman"/>
                <w:szCs w:val="24"/>
              </w:rPr>
              <w:t xml:space="preserve">., </w:t>
            </w:r>
            <w:proofErr w:type="spellStart"/>
            <w:r w:rsidRPr="001D3579">
              <w:rPr>
                <w:rFonts w:ascii="Times New Roman" w:hAnsi="Times New Roman" w:cs="Times New Roman"/>
                <w:szCs w:val="24"/>
              </w:rPr>
              <w:t>dst</w:t>
            </w:r>
            <w:proofErr w:type="spellEnd"/>
            <w:r w:rsidRPr="001D3579">
              <w:rPr>
                <w:rFonts w:ascii="Times New Roman" w:hAnsi="Times New Roman" w:cs="Times New Roman"/>
                <w:szCs w:val="24"/>
              </w:rPr>
              <w:t xml:space="preserve">.) po pewnym upływie czasu zostaje zapytany ponownie w celu sprawdzenia techniki czytania.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Uczniowie mający opinię z poradni psychologiczno-pedagogicznej w zakresie zaburzeń czytania oceniani są indywidualnie według zaleceń poradni. </w:t>
            </w:r>
          </w:p>
        </w:tc>
      </w:tr>
      <w:tr w:rsidR="00CB6B8C" w:rsidRPr="0087168A" w:rsidTr="007B01A2">
        <w:trPr>
          <w:trHeight w:val="228"/>
        </w:trPr>
        <w:tc>
          <w:tcPr>
            <w:tcW w:w="2524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579">
              <w:rPr>
                <w:rFonts w:ascii="Times New Roman" w:hAnsi="Times New Roman" w:cs="Times New Roman"/>
                <w:b/>
              </w:rPr>
              <w:t xml:space="preserve">Kartkówka </w:t>
            </w:r>
          </w:p>
        </w:tc>
        <w:tc>
          <w:tcPr>
            <w:tcW w:w="766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766" w:type="dxa"/>
          </w:tcPr>
          <w:p w:rsidR="00CB6B8C" w:rsidRPr="0097674D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Odpowiednik odpowiedzi ustnej – oceniana na tych samych zasadach. Obejmuje 3 ostatnie lekcje, trwa maksymalnie 15 minut. Może być przeprowadzona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bez zapowiedzi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. </w:t>
            </w:r>
            <w:r w:rsidR="0097674D">
              <w:rPr>
                <w:rFonts w:ascii="Times New Roman" w:hAnsi="Times New Roman" w:cs="Times New Roman"/>
                <w:szCs w:val="24"/>
              </w:rPr>
              <w:t xml:space="preserve">Nie podlega poprawie. </w:t>
            </w:r>
          </w:p>
        </w:tc>
      </w:tr>
      <w:tr w:rsidR="00CB6B8C" w:rsidRPr="0087168A" w:rsidTr="007B01A2">
        <w:trPr>
          <w:trHeight w:val="228"/>
        </w:trPr>
        <w:tc>
          <w:tcPr>
            <w:tcW w:w="2524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Odpowiedź ustna</w:t>
            </w:r>
          </w:p>
        </w:tc>
        <w:tc>
          <w:tcPr>
            <w:tcW w:w="766" w:type="dxa"/>
            <w:vAlign w:val="center"/>
          </w:tcPr>
          <w:p w:rsidR="00CB6B8C" w:rsidRDefault="00CB6B8C" w:rsidP="00CB6B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766" w:type="dxa"/>
          </w:tcPr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Forma nieobowiązkowa – uczeń może zgłosić się do odpowiedzi w celu podniesienia średniej. Obejmuje trzy ostatnie tematu (tak, jak kartkówka). </w:t>
            </w:r>
          </w:p>
        </w:tc>
      </w:tr>
      <w:tr w:rsidR="009C0B62" w:rsidRPr="0087168A" w:rsidTr="007B01A2">
        <w:trPr>
          <w:trHeight w:val="228"/>
        </w:trPr>
        <w:tc>
          <w:tcPr>
            <w:tcW w:w="2524" w:type="dxa"/>
            <w:vAlign w:val="center"/>
          </w:tcPr>
          <w:p w:rsidR="009C0B62" w:rsidRPr="00DD3E2C" w:rsidRDefault="009C0B62" w:rsidP="009C0B6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Osiągnięcia w konkursach </w:t>
            </w:r>
          </w:p>
        </w:tc>
        <w:tc>
          <w:tcPr>
            <w:tcW w:w="766" w:type="dxa"/>
            <w:vAlign w:val="center"/>
          </w:tcPr>
          <w:p w:rsidR="009C0B62" w:rsidRPr="00DD3E2C" w:rsidRDefault="009C0B62" w:rsidP="009C0B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766" w:type="dxa"/>
          </w:tcPr>
          <w:p w:rsidR="009C0B62" w:rsidRPr="00DD3E2C" w:rsidRDefault="009C0B62" w:rsidP="009C0B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Dotyczy osiągnieć w </w:t>
            </w:r>
            <w:r w:rsidRPr="00DD3E2C">
              <w:rPr>
                <w:rFonts w:ascii="Times New Roman" w:hAnsi="Times New Roman" w:cs="Times New Roman"/>
                <w:szCs w:val="24"/>
              </w:rPr>
              <w:t>etap</w:t>
            </w:r>
            <w:r>
              <w:rPr>
                <w:rFonts w:ascii="Times New Roman" w:hAnsi="Times New Roman" w:cs="Times New Roman"/>
                <w:szCs w:val="24"/>
              </w:rPr>
              <w:t>ie</w:t>
            </w:r>
            <w:r w:rsidRPr="00DD3E2C">
              <w:rPr>
                <w:rFonts w:ascii="Times New Roman" w:hAnsi="Times New Roman" w:cs="Times New Roman"/>
                <w:szCs w:val="24"/>
              </w:rPr>
              <w:t xml:space="preserve"> szkolny</w:t>
            </w:r>
            <w:r>
              <w:rPr>
                <w:rFonts w:ascii="Times New Roman" w:hAnsi="Times New Roman" w:cs="Times New Roman"/>
                <w:szCs w:val="24"/>
              </w:rPr>
              <w:t>m</w:t>
            </w:r>
          </w:p>
        </w:tc>
      </w:tr>
      <w:tr w:rsidR="00CB6B8C" w:rsidRPr="0087168A" w:rsidTr="007B01A2">
        <w:trPr>
          <w:trHeight w:val="228"/>
        </w:trPr>
        <w:tc>
          <w:tcPr>
            <w:tcW w:w="2524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579">
              <w:rPr>
                <w:rFonts w:ascii="Times New Roman" w:hAnsi="Times New Roman" w:cs="Times New Roman"/>
                <w:b/>
              </w:rPr>
              <w:t>Recytacja</w:t>
            </w:r>
          </w:p>
        </w:tc>
        <w:tc>
          <w:tcPr>
            <w:tcW w:w="766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766" w:type="dxa"/>
          </w:tcPr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Recytacja utworu poetyckiego lub fragmentu prozy odbywa się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przynajmniej raz w półroczu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. Czas potrzebny do przyswojenia tekstu wynosi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7-10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 dni (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 xml:space="preserve">14 dni dla uczniów mających takie zalecenie z poradni psychologiczno-pedagogicznej).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Uczniowie, u których stres wywołany recytacją utworu w obecności całej klasy negatywnie wpływa na poziom recytacji, mogą zaprezentować utwór np. podczas przerwy (w dniu przeznaczonym na recytację) w obecności nauczyciela i wybranego przez ucznia kolegi.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Oceniane są: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dykcja, interpretacja tekstu, opanowanie pamięciowe, właściwa intonacja, tempo.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Wada wymowy nie ma wpływu na ocenę.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1D3579">
              <w:rPr>
                <w:rFonts w:ascii="Times New Roman" w:hAnsi="Times New Roman" w:cs="Times New Roman"/>
                <w:b/>
                <w:szCs w:val="24"/>
              </w:rPr>
              <w:t xml:space="preserve">Ocena niedostateczna musi zostać przez ucznia poprawiona w ciągu 2 tygodni na ocenę pozytywną. </w:t>
            </w:r>
          </w:p>
        </w:tc>
      </w:tr>
      <w:tr w:rsidR="00CB6B8C" w:rsidRPr="0087168A" w:rsidTr="007B01A2">
        <w:trPr>
          <w:trHeight w:val="228"/>
        </w:trPr>
        <w:tc>
          <w:tcPr>
            <w:tcW w:w="2524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579">
              <w:rPr>
                <w:rFonts w:ascii="Times New Roman" w:hAnsi="Times New Roman" w:cs="Times New Roman"/>
                <w:b/>
              </w:rPr>
              <w:t>Dyktando</w:t>
            </w:r>
            <w:r>
              <w:rPr>
                <w:rFonts w:ascii="Times New Roman" w:hAnsi="Times New Roman" w:cs="Times New Roman"/>
                <w:b/>
              </w:rPr>
              <w:t xml:space="preserve"> i sprawdzian ortograficzny</w:t>
            </w:r>
          </w:p>
        </w:tc>
        <w:tc>
          <w:tcPr>
            <w:tcW w:w="766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766" w:type="dxa"/>
          </w:tcPr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Przeprowadzane jest </w:t>
            </w:r>
            <w:r>
              <w:rPr>
                <w:rFonts w:ascii="Times New Roman" w:hAnsi="Times New Roman" w:cs="Times New Roman"/>
                <w:szCs w:val="24"/>
              </w:rPr>
              <w:t>po wcześniejszej zapowiedzi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, jego celem jest sprawdzenie znajomości zasad ortografii i interpunkcji oraz zastosowanie tej umiejętności w praktyce. Uczniowie z opinią poradni psychologiczno-pedagogicznej (trudności o charakterze dysleksyjnym) oceniani są indywidualnie według zaleceń poradni.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Uczeń, który nie pisał dyktanda w pierwszym terminie, zalicza je z osobami poprawiającymi.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Dyktando jest pisane na kartkach.   </w:t>
            </w:r>
          </w:p>
        </w:tc>
      </w:tr>
      <w:tr w:rsidR="00CB6B8C" w:rsidRPr="0087168A" w:rsidTr="007B01A2">
        <w:trPr>
          <w:trHeight w:val="228"/>
        </w:trPr>
        <w:tc>
          <w:tcPr>
            <w:tcW w:w="2524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Praca pisemna na lekcji</w:t>
            </w:r>
          </w:p>
        </w:tc>
        <w:tc>
          <w:tcPr>
            <w:tcW w:w="766" w:type="dxa"/>
            <w:vAlign w:val="center"/>
          </w:tcPr>
          <w:p w:rsidR="00CB6B8C" w:rsidRDefault="00CB6B8C" w:rsidP="00CB6B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766" w:type="dxa"/>
          </w:tcPr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Podczas pracy na lekcji i ćwiczenia nowej (bądź starej) formy wypowiedzi uczeń ma możliwość uzyskać ocenę za swoją pracę. </w:t>
            </w:r>
          </w:p>
        </w:tc>
      </w:tr>
      <w:tr w:rsidR="00CB6B8C" w:rsidRPr="0087168A" w:rsidTr="007B01A2">
        <w:trPr>
          <w:trHeight w:val="1554"/>
        </w:trPr>
        <w:tc>
          <w:tcPr>
            <w:tcW w:w="2524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579">
              <w:rPr>
                <w:rFonts w:ascii="Times New Roman" w:hAnsi="Times New Roman" w:cs="Times New Roman"/>
                <w:b/>
              </w:rPr>
              <w:t>Kartkówka z lektury</w:t>
            </w:r>
          </w:p>
        </w:tc>
        <w:tc>
          <w:tcPr>
            <w:tcW w:w="766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766" w:type="dxa"/>
          </w:tcPr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Może mieć formę testu lub pytań otwartych. Przeprowadzana jest przed omówieniem treści na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drugiej jednostce lekcyjnej poświęconej lekturze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 po zapowiedzi i trwa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maksymalnie 15 minut.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! Uczeń ma możliwość poprawienia oceny z lektury w ciągu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2 dni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, ponieważ wie, jakie błędy popełnił (został poinformowany o tym przez nauczyciela). Czas ten wynosi dwa dni, ponieważ w innym przypadku nie można stwierdzić czy wiedza na temat lektury została nabyta przez jej przeczytanie, czy jej źródłem były informacje podane na lekcji.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Kartkówka pisana w celu poprawy zawiera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inny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 zestaw pytań. Uczeń może wykazać się znajomością treści również podczas pisania pracy klasowej. </w:t>
            </w:r>
          </w:p>
        </w:tc>
      </w:tr>
      <w:tr w:rsidR="00CB6B8C" w:rsidRPr="0087168A" w:rsidTr="007B01A2">
        <w:trPr>
          <w:trHeight w:val="1554"/>
        </w:trPr>
        <w:tc>
          <w:tcPr>
            <w:tcW w:w="2524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579">
              <w:rPr>
                <w:rFonts w:ascii="Times New Roman" w:hAnsi="Times New Roman" w:cs="Times New Roman"/>
                <w:b/>
              </w:rPr>
              <w:t>Małe formy teatralne</w:t>
            </w:r>
          </w:p>
        </w:tc>
        <w:tc>
          <w:tcPr>
            <w:tcW w:w="766" w:type="dxa"/>
            <w:vAlign w:val="center"/>
          </w:tcPr>
          <w:p w:rsidR="00CB6B8C" w:rsidRPr="001D3579" w:rsidRDefault="00CB6B8C" w:rsidP="00CB6B8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6" w:type="dxa"/>
          </w:tcPr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Ta forma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nie jest obowiązkowa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 i stanowi uatrakcyjnienie procesu dydaktycznego. Jeśli nauczyciel zadecyduje o takiej formie przeprowadzenia zajęć, uczniowie zostaną poinformowanie o podziale ról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ok. 2 tygodnie wcześniej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Uczeń zostanie oceniony indywidualnie (wyrazistość i ekspresja gry, opanowanie tekstu, zaangażowanie, charakteryzacja, dykcja). </w:t>
            </w:r>
            <w:r>
              <w:rPr>
                <w:rFonts w:ascii="Times New Roman" w:hAnsi="Times New Roman" w:cs="Times New Roman"/>
                <w:szCs w:val="24"/>
              </w:rPr>
              <w:t xml:space="preserve">Waga oceny zależy od „wielkości roli” jeśli jest to tylko element dramy to waga jest najniższa (1). </w:t>
            </w:r>
          </w:p>
        </w:tc>
      </w:tr>
      <w:tr w:rsidR="00CB6B8C" w:rsidRPr="0087168A" w:rsidTr="007B01A2">
        <w:trPr>
          <w:trHeight w:val="1554"/>
        </w:trPr>
        <w:tc>
          <w:tcPr>
            <w:tcW w:w="2524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579">
              <w:rPr>
                <w:rFonts w:ascii="Times New Roman" w:hAnsi="Times New Roman" w:cs="Times New Roman"/>
                <w:b/>
              </w:rPr>
              <w:t>Praca klasowa</w:t>
            </w:r>
          </w:p>
        </w:tc>
        <w:tc>
          <w:tcPr>
            <w:tcW w:w="766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766" w:type="dxa"/>
          </w:tcPr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Ma charakter wypracowania i odbywa się po omówieniu lektury na całej lekcji. Uczeń wybiera jeden z trzech zaproponowanych tematów związanych z lekturą.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Ocenie podlega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znajomość treści lektury, związek pracy z tematem, zgodność z formą, poprawność stylistyczna, gramatyczna, interpunkcyjna, ortograficzna.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Uczniowie ze zdiagnozowaną dysleksją rozwojową oceniani są zgodnie z zaleceniami poradni.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Pisana jest na papierze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kancelaryjnym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</w:tr>
      <w:tr w:rsidR="00CB6B8C" w:rsidRPr="0087168A" w:rsidTr="007B01A2">
        <w:trPr>
          <w:trHeight w:val="228"/>
        </w:trPr>
        <w:tc>
          <w:tcPr>
            <w:tcW w:w="2524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579">
              <w:rPr>
                <w:rFonts w:ascii="Times New Roman" w:hAnsi="Times New Roman" w:cs="Times New Roman"/>
                <w:b/>
              </w:rPr>
              <w:t>Sprawdzian gramatyczny</w:t>
            </w:r>
          </w:p>
        </w:tc>
        <w:tc>
          <w:tcPr>
            <w:tcW w:w="766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766" w:type="dxa"/>
          </w:tcPr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Przeprowadzony jest na całej godzinie lekcyjnej, obejmuje cały dział nauki o języku. </w:t>
            </w:r>
          </w:p>
          <w:p w:rsidR="00CB6B8C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>Uczeń, który nie pi</w:t>
            </w:r>
            <w:r>
              <w:rPr>
                <w:rFonts w:ascii="Times New Roman" w:hAnsi="Times New Roman" w:cs="Times New Roman"/>
                <w:szCs w:val="24"/>
              </w:rPr>
              <w:t>sał testu w pierwszym terminie pisze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 z uczniami poprawiającymi.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Poprawa sprawdzianu zawiera inny zestaw pytań.</w:t>
            </w:r>
          </w:p>
        </w:tc>
      </w:tr>
      <w:tr w:rsidR="00CB6B8C" w:rsidRPr="0087168A" w:rsidTr="007B01A2">
        <w:trPr>
          <w:trHeight w:val="228"/>
        </w:trPr>
        <w:tc>
          <w:tcPr>
            <w:tcW w:w="2524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Sprawdzian / test z działu</w:t>
            </w:r>
          </w:p>
        </w:tc>
        <w:tc>
          <w:tcPr>
            <w:tcW w:w="766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766" w:type="dxa"/>
          </w:tcPr>
          <w:p w:rsidR="00CB6B8C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Przeprowadzany na całej jednostce lekcyjnej, obejmuje dział poprzedzony powtórzeniem. Uczeń, który nie pisał testu w pierwszym terminie pisze go z uczniami poprawiającymi.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Poprawa sprawdzianu zawiera inny zestaw pytań. </w:t>
            </w:r>
          </w:p>
        </w:tc>
      </w:tr>
      <w:tr w:rsidR="00CB6B8C" w:rsidRPr="0087168A" w:rsidTr="007B01A2">
        <w:trPr>
          <w:trHeight w:val="228"/>
        </w:trPr>
        <w:tc>
          <w:tcPr>
            <w:tcW w:w="2524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Czytanie ze zrozumieniem</w:t>
            </w:r>
          </w:p>
        </w:tc>
        <w:tc>
          <w:tcPr>
            <w:tcW w:w="766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766" w:type="dxa"/>
          </w:tcPr>
          <w:p w:rsidR="00CB6B8C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Sprawdzian potwierdzający kompetencje czytania ze zrozumieniem. Zapowiedziany tydzień wcześniej, obejmuje całą jednostkę lekcyjną. Uczeń, który nie pisał testu w pierwszym terminie pisze go z uczniami poprawiającymi.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Poprawa sprawdzianu zawiera inny zestaw pytań.</w:t>
            </w:r>
          </w:p>
        </w:tc>
      </w:tr>
      <w:tr w:rsidR="00CB6B8C" w:rsidRPr="0087168A" w:rsidTr="007B01A2">
        <w:trPr>
          <w:trHeight w:val="228"/>
        </w:trPr>
        <w:tc>
          <w:tcPr>
            <w:tcW w:w="2524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Prowadzenie zeszytu lekturowego</w:t>
            </w:r>
          </w:p>
        </w:tc>
        <w:tc>
          <w:tcPr>
            <w:tcW w:w="766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766" w:type="dxa"/>
          </w:tcPr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B01A2">
              <w:rPr>
                <w:rFonts w:ascii="Times New Roman" w:hAnsi="Times New Roman" w:cs="Times New Roman"/>
                <w:szCs w:val="24"/>
              </w:rPr>
              <w:t xml:space="preserve">Podczas omawiania lektur Nauczyciel podaje zagadnienia, na które uczeń powinien zwrócić szczególną uwagę. Do uporządkowania lektur służy tzw. </w:t>
            </w:r>
            <w:proofErr w:type="spellStart"/>
            <w:r w:rsidRPr="007B01A2">
              <w:rPr>
                <w:rFonts w:ascii="Times New Roman" w:hAnsi="Times New Roman" w:cs="Times New Roman"/>
                <w:szCs w:val="24"/>
              </w:rPr>
              <w:t>lekturownik</w:t>
            </w:r>
            <w:proofErr w:type="spellEnd"/>
            <w:r w:rsidRPr="007B01A2">
              <w:rPr>
                <w:rFonts w:ascii="Times New Roman" w:hAnsi="Times New Roman" w:cs="Times New Roman"/>
                <w:szCs w:val="24"/>
              </w:rPr>
              <w:t>, który uczniowie mają obowiązek założyć (skoroszyt lub zeszyt formatu a4). Uczeń gromadzi w nim wszelkie notatki związane z lekturami, wkleja karty pracy. Jego prowadzenie będzie spr</w:t>
            </w:r>
            <w:r>
              <w:rPr>
                <w:rFonts w:ascii="Times New Roman" w:hAnsi="Times New Roman" w:cs="Times New Roman"/>
                <w:szCs w:val="24"/>
              </w:rPr>
              <w:t xml:space="preserve">awdzane po przerobieniu lektury a oceniane oceną raz w semestrze. </w:t>
            </w:r>
          </w:p>
        </w:tc>
      </w:tr>
      <w:tr w:rsidR="009C0B62" w:rsidRPr="0087168A" w:rsidTr="007B01A2">
        <w:trPr>
          <w:trHeight w:val="228"/>
        </w:trPr>
        <w:tc>
          <w:tcPr>
            <w:tcW w:w="2524" w:type="dxa"/>
            <w:vAlign w:val="center"/>
          </w:tcPr>
          <w:p w:rsidR="009C0B62" w:rsidRPr="00DD3E2C" w:rsidRDefault="009C0B62" w:rsidP="009C0B6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Osiągnięcia w konkursach </w:t>
            </w:r>
          </w:p>
        </w:tc>
        <w:tc>
          <w:tcPr>
            <w:tcW w:w="766" w:type="dxa"/>
            <w:vAlign w:val="center"/>
          </w:tcPr>
          <w:p w:rsidR="009C0B62" w:rsidRPr="00DD3E2C" w:rsidRDefault="009C0B62" w:rsidP="009C0B6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766" w:type="dxa"/>
          </w:tcPr>
          <w:p w:rsidR="009C0B62" w:rsidRPr="00DD3E2C" w:rsidRDefault="009C0B62" w:rsidP="009C0B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Dotyczy osiągnięć w </w:t>
            </w:r>
            <w:r w:rsidRPr="00DD3E2C">
              <w:rPr>
                <w:rFonts w:ascii="Times New Roman" w:hAnsi="Times New Roman" w:cs="Times New Roman"/>
                <w:szCs w:val="24"/>
              </w:rPr>
              <w:t>etap</w:t>
            </w:r>
            <w:r>
              <w:rPr>
                <w:rFonts w:ascii="Times New Roman" w:hAnsi="Times New Roman" w:cs="Times New Roman"/>
                <w:szCs w:val="24"/>
              </w:rPr>
              <w:t>ie</w:t>
            </w:r>
            <w:r w:rsidRPr="00DD3E2C">
              <w:rPr>
                <w:rFonts w:ascii="Times New Roman" w:hAnsi="Times New Roman" w:cs="Times New Roman"/>
                <w:szCs w:val="24"/>
              </w:rPr>
              <w:t xml:space="preserve"> rejonowy</w:t>
            </w:r>
            <w:r>
              <w:rPr>
                <w:rFonts w:ascii="Times New Roman" w:hAnsi="Times New Roman" w:cs="Times New Roman"/>
                <w:szCs w:val="24"/>
              </w:rPr>
              <w:t>m i wojewódzkim</w:t>
            </w:r>
          </w:p>
        </w:tc>
      </w:tr>
      <w:tr w:rsidR="00CB6B8C" w:rsidRPr="0087168A" w:rsidTr="007B01A2">
        <w:trPr>
          <w:trHeight w:val="214"/>
        </w:trPr>
        <w:tc>
          <w:tcPr>
            <w:tcW w:w="2524" w:type="dxa"/>
            <w:vAlign w:val="center"/>
          </w:tcPr>
          <w:p w:rsidR="00CB6B8C" w:rsidRPr="001D3579" w:rsidRDefault="00CB6B8C" w:rsidP="009767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579">
              <w:rPr>
                <w:rFonts w:ascii="Times New Roman" w:hAnsi="Times New Roman" w:cs="Times New Roman"/>
                <w:b/>
              </w:rPr>
              <w:t>Prowadzenie zeszytu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66" w:type="dxa"/>
            <w:vAlign w:val="center"/>
          </w:tcPr>
          <w:p w:rsidR="00CB6B8C" w:rsidRPr="001D3579" w:rsidRDefault="00CB6B8C" w:rsidP="00CB6B8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6" w:type="dxa"/>
          </w:tcPr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Do pisania w zeszycie przedmiotowym (formatu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a5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, w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szerokie linie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) uczeń używa długopisu (lub pióra) z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niebieskim/czarnym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 tuszem (atramentem); Zakazuje się używania w zeszycie koloru czerwonego, który jest zarezerwowany dla nauczyciela;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Ważne pojęcia uczeń zapisuje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kolorem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 innym niż reszta notatki;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>Wszelkie kserokopie uczeń ma obowiązek wkleić do zeszytu (chyba, że nauczyciel nakazał inaczej);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Uczeń ma obowiązek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 xml:space="preserve">numerowania lekcji 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i zapisywania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daty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 na marginesie;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Tematy związane z gramatyką uczeń zapisuje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w tylnej części zeszytu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; </w:t>
            </w:r>
          </w:p>
          <w:p w:rsidR="00CB6B8C" w:rsidRPr="001D3579" w:rsidRDefault="00CB6B8C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D3579">
              <w:rPr>
                <w:rFonts w:ascii="Times New Roman" w:hAnsi="Times New Roman" w:cs="Times New Roman"/>
                <w:szCs w:val="24"/>
              </w:rPr>
              <w:t xml:space="preserve">Uczeń ma </w:t>
            </w:r>
            <w:r w:rsidRPr="001D3579">
              <w:rPr>
                <w:rFonts w:ascii="Times New Roman" w:hAnsi="Times New Roman" w:cs="Times New Roman"/>
                <w:b/>
                <w:szCs w:val="24"/>
              </w:rPr>
              <w:t>obowiązek</w:t>
            </w:r>
            <w:r w:rsidRPr="001D3579">
              <w:rPr>
                <w:rFonts w:ascii="Times New Roman" w:hAnsi="Times New Roman" w:cs="Times New Roman"/>
                <w:szCs w:val="24"/>
              </w:rPr>
              <w:t xml:space="preserve"> wypisania pierwszej strony zeszytu, na której znaleźć się ma: imię i nazwisko ucznia, jego numer w dzienniku, klasa oraz nazwa przedmiotu.</w:t>
            </w:r>
          </w:p>
          <w:p w:rsidR="00CB6B8C" w:rsidRPr="001D3579" w:rsidRDefault="0097674D" w:rsidP="00CB6B8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Ocena zeszytu jest nieobowiązkowa.</w:t>
            </w:r>
            <w:r w:rsidR="00CB6B8C" w:rsidRPr="001D3579">
              <w:rPr>
                <w:rFonts w:ascii="Times New Roman" w:hAnsi="Times New Roman" w:cs="Times New Roman"/>
                <w:szCs w:val="24"/>
              </w:rPr>
              <w:t xml:space="preserve"> Oceniana jest </w:t>
            </w:r>
            <w:r w:rsidR="00CB6B8C" w:rsidRPr="001D3579">
              <w:rPr>
                <w:rFonts w:ascii="Times New Roman" w:hAnsi="Times New Roman" w:cs="Times New Roman"/>
                <w:b/>
                <w:szCs w:val="24"/>
              </w:rPr>
              <w:t>estetyka, kompletność notatek, ilość błędów ortograficznych</w:t>
            </w:r>
            <w:r w:rsidR="00CB6B8C" w:rsidRPr="001D3579">
              <w:rPr>
                <w:rFonts w:ascii="Times New Roman" w:hAnsi="Times New Roman" w:cs="Times New Roman"/>
                <w:szCs w:val="24"/>
              </w:rPr>
              <w:t xml:space="preserve">. Ocena zostaje odnotowana i uzasadniona w zeszycie. </w:t>
            </w:r>
          </w:p>
        </w:tc>
      </w:tr>
    </w:tbl>
    <w:p w:rsidR="00EE470B" w:rsidRDefault="00EE470B" w:rsidP="00B30069">
      <w:pPr>
        <w:jc w:val="both"/>
        <w:rPr>
          <w:rFonts w:ascii="Times New Roman" w:hAnsi="Times New Roman" w:cs="Times New Roman"/>
          <w:b/>
          <w:sz w:val="24"/>
        </w:rPr>
      </w:pPr>
    </w:p>
    <w:p w:rsidR="00B30069" w:rsidRDefault="00B30069" w:rsidP="00B3006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Poprawianie ocen: </w:t>
      </w:r>
      <w:r w:rsidRPr="00105DF2">
        <w:rPr>
          <w:rFonts w:ascii="Times New Roman" w:hAnsi="Times New Roman" w:cs="Times New Roman"/>
          <w:sz w:val="24"/>
        </w:rPr>
        <w:t>Uczeń może poprawić każdą</w:t>
      </w:r>
      <w:r w:rsidR="0097674D">
        <w:rPr>
          <w:rFonts w:ascii="Times New Roman" w:hAnsi="Times New Roman" w:cs="Times New Roman"/>
          <w:sz w:val="24"/>
        </w:rPr>
        <w:t xml:space="preserve"> (1-6, za wyjątkiem kartkówek)</w:t>
      </w:r>
      <w:r w:rsidRPr="00105DF2">
        <w:rPr>
          <w:rFonts w:ascii="Times New Roman" w:hAnsi="Times New Roman" w:cs="Times New Roman"/>
          <w:sz w:val="24"/>
        </w:rPr>
        <w:t xml:space="preserve"> ocenę w ciągu dwóch </w:t>
      </w:r>
      <w:r>
        <w:rPr>
          <w:rFonts w:ascii="Times New Roman" w:hAnsi="Times New Roman" w:cs="Times New Roman"/>
          <w:sz w:val="24"/>
        </w:rPr>
        <w:t xml:space="preserve">tygodni w terminie ustalonym przez nauczyciela – zawsze PO lekcjach. Każda ocena może być poprawiona tylko raz. Ocena niedostateczna powstała z nagromadzenia nieprzygotowań nie podlega poprawie. </w:t>
      </w:r>
    </w:p>
    <w:p w:rsidR="0097674D" w:rsidRDefault="0097674D">
      <w:pPr>
        <w:rPr>
          <w:rFonts w:ascii="Times New Roman" w:hAnsi="Times New Roman" w:cs="Times New Roman"/>
          <w:b/>
          <w:sz w:val="24"/>
        </w:rPr>
      </w:pPr>
    </w:p>
    <w:p w:rsidR="009C0B62" w:rsidRDefault="009C0B62">
      <w:pPr>
        <w:rPr>
          <w:rFonts w:ascii="Times New Roman" w:hAnsi="Times New Roman" w:cs="Times New Roman"/>
          <w:b/>
          <w:sz w:val="24"/>
        </w:rPr>
      </w:pPr>
    </w:p>
    <w:p w:rsidR="001D3579" w:rsidRDefault="001D35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Inne zasady</w:t>
      </w:r>
      <w:r>
        <w:rPr>
          <w:rFonts w:ascii="Times New Roman" w:hAnsi="Times New Roman" w:cs="Times New Roman"/>
          <w:sz w:val="24"/>
        </w:rPr>
        <w:t xml:space="preserve">: </w:t>
      </w:r>
    </w:p>
    <w:p w:rsidR="007B01A2" w:rsidRDefault="001D3579" w:rsidP="00EE470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1E22BC">
        <w:rPr>
          <w:rFonts w:ascii="Times New Roman" w:hAnsi="Times New Roman" w:cs="Times New Roman"/>
          <w:sz w:val="24"/>
        </w:rPr>
        <w:t>Uczeń i rodzice mają prawo wglądu do kartkówek i prac klasowych. Prace klasowe uczniowie zabierają do podpisu rodzicom i oddają nauczycielowi</w:t>
      </w:r>
      <w:r>
        <w:rPr>
          <w:rFonts w:ascii="Times New Roman" w:hAnsi="Times New Roman" w:cs="Times New Roman"/>
          <w:sz w:val="24"/>
        </w:rPr>
        <w:t xml:space="preserve"> na najbliższej lekcji</w:t>
      </w:r>
      <w:r w:rsidRPr="001E22BC">
        <w:rPr>
          <w:rFonts w:ascii="Times New Roman" w:hAnsi="Times New Roman" w:cs="Times New Roman"/>
          <w:sz w:val="24"/>
        </w:rPr>
        <w:t xml:space="preserve">. Ocena niedostateczna z </w:t>
      </w:r>
      <w:r>
        <w:rPr>
          <w:rFonts w:ascii="Times New Roman" w:hAnsi="Times New Roman" w:cs="Times New Roman"/>
          <w:b/>
          <w:sz w:val="24"/>
        </w:rPr>
        <w:t xml:space="preserve">każdej </w:t>
      </w:r>
      <w:r>
        <w:rPr>
          <w:rFonts w:ascii="Times New Roman" w:hAnsi="Times New Roman" w:cs="Times New Roman"/>
          <w:sz w:val="24"/>
        </w:rPr>
        <w:t xml:space="preserve">formy aktywności </w:t>
      </w:r>
      <w:r w:rsidRPr="001E22BC">
        <w:rPr>
          <w:rFonts w:ascii="Times New Roman" w:hAnsi="Times New Roman" w:cs="Times New Roman"/>
          <w:b/>
          <w:sz w:val="24"/>
        </w:rPr>
        <w:t>musi</w:t>
      </w:r>
      <w:r>
        <w:rPr>
          <w:rFonts w:ascii="Times New Roman" w:hAnsi="Times New Roman" w:cs="Times New Roman"/>
          <w:sz w:val="24"/>
        </w:rPr>
        <w:t xml:space="preserve"> być podpisana przez rodziców; </w:t>
      </w:r>
    </w:p>
    <w:p w:rsidR="0097674D" w:rsidRPr="0097674D" w:rsidRDefault="0097674D" w:rsidP="0097674D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1D3579" w:rsidRPr="00EE470B" w:rsidRDefault="001D3579" w:rsidP="00EE470B">
      <w:pPr>
        <w:jc w:val="both"/>
        <w:rPr>
          <w:rFonts w:ascii="Times New Roman" w:hAnsi="Times New Roman" w:cs="Times New Roman"/>
          <w:sz w:val="24"/>
        </w:rPr>
      </w:pPr>
      <w:r w:rsidRPr="00EE470B">
        <w:rPr>
          <w:rFonts w:ascii="Times New Roman" w:hAnsi="Times New Roman" w:cs="Times New Roman"/>
          <w:sz w:val="24"/>
        </w:rPr>
        <w:t xml:space="preserve">Progi procentowe, obowiązujące na sprawdzianach, kartkówkach itp.: </w:t>
      </w:r>
    </w:p>
    <w:tbl>
      <w:tblPr>
        <w:tblStyle w:val="Tabela-Siatka"/>
        <w:tblW w:w="0" w:type="auto"/>
        <w:tblInd w:w="2830" w:type="dxa"/>
        <w:tblLook w:val="04A0" w:firstRow="1" w:lastRow="0" w:firstColumn="1" w:lastColumn="0" w:noHBand="0" w:noVBand="1"/>
      </w:tblPr>
      <w:tblGrid>
        <w:gridCol w:w="1701"/>
        <w:gridCol w:w="1985"/>
      </w:tblGrid>
      <w:tr w:rsidR="001D3579" w:rsidTr="00A26702">
        <w:tc>
          <w:tcPr>
            <w:tcW w:w="1701" w:type="dxa"/>
          </w:tcPr>
          <w:p w:rsidR="001D3579" w:rsidRPr="001D3579" w:rsidRDefault="001D3579" w:rsidP="001D357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Procenty</w:t>
            </w:r>
          </w:p>
        </w:tc>
        <w:tc>
          <w:tcPr>
            <w:tcW w:w="1985" w:type="dxa"/>
          </w:tcPr>
          <w:p w:rsidR="001D3579" w:rsidRPr="001D3579" w:rsidRDefault="001D3579" w:rsidP="001D357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3579">
              <w:rPr>
                <w:rFonts w:ascii="Times New Roman" w:hAnsi="Times New Roman" w:cs="Times New Roman"/>
                <w:b/>
                <w:sz w:val="24"/>
              </w:rPr>
              <w:t>Ocena</w:t>
            </w:r>
          </w:p>
        </w:tc>
      </w:tr>
      <w:tr w:rsidR="001D3579" w:rsidTr="00A26702">
        <w:tc>
          <w:tcPr>
            <w:tcW w:w="1701" w:type="dxa"/>
          </w:tcPr>
          <w:p w:rsidR="001D3579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  <w:r w:rsidR="001D3579">
              <w:rPr>
                <w:rFonts w:ascii="Times New Roman" w:hAnsi="Times New Roman" w:cs="Times New Roman"/>
                <w:sz w:val="24"/>
              </w:rPr>
              <w:t>-100</w:t>
            </w:r>
          </w:p>
        </w:tc>
        <w:tc>
          <w:tcPr>
            <w:tcW w:w="1985" w:type="dxa"/>
          </w:tcPr>
          <w:p w:rsidR="001D3579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celujący</w:t>
            </w:r>
          </w:p>
        </w:tc>
      </w:tr>
      <w:tr w:rsidR="0097674D" w:rsidTr="00A26702">
        <w:tc>
          <w:tcPr>
            <w:tcW w:w="1701" w:type="dxa"/>
          </w:tcPr>
          <w:p w:rsidR="0097674D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 – 96</w:t>
            </w:r>
          </w:p>
        </w:tc>
        <w:tc>
          <w:tcPr>
            <w:tcW w:w="1985" w:type="dxa"/>
          </w:tcPr>
          <w:p w:rsidR="0097674D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bardzo dobry +</w:t>
            </w:r>
          </w:p>
        </w:tc>
      </w:tr>
      <w:tr w:rsidR="001D3579" w:rsidTr="00A26702">
        <w:tc>
          <w:tcPr>
            <w:tcW w:w="1701" w:type="dxa"/>
          </w:tcPr>
          <w:p w:rsidR="001D3579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90 – 94 </w:t>
            </w:r>
          </w:p>
        </w:tc>
        <w:tc>
          <w:tcPr>
            <w:tcW w:w="1985" w:type="dxa"/>
          </w:tcPr>
          <w:p w:rsidR="001D3579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bardzo dobry</w:t>
            </w:r>
          </w:p>
        </w:tc>
      </w:tr>
      <w:tr w:rsidR="0097674D" w:rsidTr="00A26702">
        <w:tc>
          <w:tcPr>
            <w:tcW w:w="1701" w:type="dxa"/>
          </w:tcPr>
          <w:p w:rsidR="0097674D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85 – 89 </w:t>
            </w:r>
          </w:p>
        </w:tc>
        <w:tc>
          <w:tcPr>
            <w:tcW w:w="1985" w:type="dxa"/>
          </w:tcPr>
          <w:p w:rsidR="0097674D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dobry +</w:t>
            </w:r>
          </w:p>
        </w:tc>
      </w:tr>
      <w:tr w:rsidR="001D3579" w:rsidTr="00A26702">
        <w:tc>
          <w:tcPr>
            <w:tcW w:w="1701" w:type="dxa"/>
          </w:tcPr>
          <w:p w:rsidR="001D3579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71 – 84 </w:t>
            </w:r>
          </w:p>
        </w:tc>
        <w:tc>
          <w:tcPr>
            <w:tcW w:w="1985" w:type="dxa"/>
          </w:tcPr>
          <w:p w:rsidR="001D3579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dobry</w:t>
            </w:r>
          </w:p>
        </w:tc>
      </w:tr>
      <w:tr w:rsidR="0097674D" w:rsidTr="00A26702">
        <w:tc>
          <w:tcPr>
            <w:tcW w:w="1701" w:type="dxa"/>
          </w:tcPr>
          <w:p w:rsidR="0097674D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65 – 70 </w:t>
            </w:r>
          </w:p>
        </w:tc>
        <w:tc>
          <w:tcPr>
            <w:tcW w:w="1985" w:type="dxa"/>
          </w:tcPr>
          <w:p w:rsidR="0097674D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dostateczny +</w:t>
            </w:r>
          </w:p>
        </w:tc>
      </w:tr>
      <w:tr w:rsidR="001D3579" w:rsidTr="00A26702">
        <w:tc>
          <w:tcPr>
            <w:tcW w:w="1701" w:type="dxa"/>
          </w:tcPr>
          <w:p w:rsidR="001D3579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51 – 64 </w:t>
            </w:r>
          </w:p>
        </w:tc>
        <w:tc>
          <w:tcPr>
            <w:tcW w:w="1985" w:type="dxa"/>
          </w:tcPr>
          <w:p w:rsidR="001D3579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dostateczny</w:t>
            </w:r>
          </w:p>
        </w:tc>
      </w:tr>
      <w:tr w:rsidR="0097674D" w:rsidTr="00A26702">
        <w:tc>
          <w:tcPr>
            <w:tcW w:w="1701" w:type="dxa"/>
          </w:tcPr>
          <w:p w:rsidR="0097674D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45 – 50 </w:t>
            </w:r>
          </w:p>
        </w:tc>
        <w:tc>
          <w:tcPr>
            <w:tcW w:w="1985" w:type="dxa"/>
          </w:tcPr>
          <w:p w:rsidR="0097674D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dopuszczający +</w:t>
            </w:r>
          </w:p>
        </w:tc>
      </w:tr>
      <w:tr w:rsidR="001D3579" w:rsidTr="00A26702">
        <w:tc>
          <w:tcPr>
            <w:tcW w:w="1701" w:type="dxa"/>
          </w:tcPr>
          <w:p w:rsidR="001D3579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– 44 </w:t>
            </w:r>
          </w:p>
        </w:tc>
        <w:tc>
          <w:tcPr>
            <w:tcW w:w="1985" w:type="dxa"/>
          </w:tcPr>
          <w:p w:rsidR="001D3579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dopuszczający</w:t>
            </w:r>
          </w:p>
        </w:tc>
      </w:tr>
      <w:tr w:rsidR="001D3579" w:rsidTr="00A26702">
        <w:tc>
          <w:tcPr>
            <w:tcW w:w="1701" w:type="dxa"/>
          </w:tcPr>
          <w:p w:rsidR="001D3579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 – 29 </w:t>
            </w:r>
          </w:p>
        </w:tc>
        <w:tc>
          <w:tcPr>
            <w:tcW w:w="1985" w:type="dxa"/>
          </w:tcPr>
          <w:p w:rsidR="001D3579" w:rsidRDefault="0097674D" w:rsidP="001D357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niedostateczny</w:t>
            </w:r>
          </w:p>
        </w:tc>
      </w:tr>
    </w:tbl>
    <w:p w:rsidR="000E0181" w:rsidRDefault="000E0181">
      <w:pPr>
        <w:rPr>
          <w:rFonts w:ascii="Times New Roman" w:hAnsi="Times New Roman" w:cs="Times New Roman"/>
          <w:b/>
          <w:sz w:val="24"/>
        </w:rPr>
      </w:pPr>
    </w:p>
    <w:p w:rsidR="001D3579" w:rsidRDefault="001D3579" w:rsidP="001D3579">
      <w:pPr>
        <w:jc w:val="both"/>
        <w:rPr>
          <w:rFonts w:ascii="Times New Roman" w:hAnsi="Times New Roman" w:cs="Times New Roman"/>
          <w:b/>
          <w:sz w:val="24"/>
        </w:rPr>
      </w:pPr>
      <w:r w:rsidRPr="00B30069">
        <w:rPr>
          <w:rFonts w:ascii="Times New Roman" w:hAnsi="Times New Roman" w:cs="Times New Roman"/>
          <w:b/>
          <w:sz w:val="24"/>
        </w:rPr>
        <w:t>Ocenianie dyktanda:</w:t>
      </w:r>
      <w:r>
        <w:rPr>
          <w:rFonts w:ascii="Times New Roman" w:hAnsi="Times New Roman" w:cs="Times New Roman"/>
          <w:sz w:val="24"/>
        </w:rPr>
        <w:t xml:space="preserve"> pod uwagę bierze się liczbę popełnionych błędów ortograficznych, przy czym </w:t>
      </w:r>
      <w:r>
        <w:rPr>
          <w:rFonts w:ascii="Times New Roman" w:hAnsi="Times New Roman" w:cs="Times New Roman"/>
          <w:b/>
          <w:sz w:val="24"/>
        </w:rPr>
        <w:t xml:space="preserve">3 błędy </w:t>
      </w:r>
      <w:r w:rsidR="00A26702">
        <w:rPr>
          <w:rFonts w:ascii="Times New Roman" w:hAnsi="Times New Roman" w:cs="Times New Roman"/>
          <w:b/>
          <w:sz w:val="24"/>
        </w:rPr>
        <w:t xml:space="preserve">interpunkcyjne lub </w:t>
      </w:r>
      <w:r w:rsidR="00EE470B">
        <w:rPr>
          <w:rFonts w:ascii="Times New Roman" w:hAnsi="Times New Roman" w:cs="Times New Roman"/>
          <w:b/>
          <w:sz w:val="24"/>
        </w:rPr>
        <w:t xml:space="preserve">ortograficzne </w:t>
      </w:r>
      <w:r w:rsidR="00A26702">
        <w:rPr>
          <w:rFonts w:ascii="Times New Roman" w:hAnsi="Times New Roman" w:cs="Times New Roman"/>
          <w:b/>
          <w:sz w:val="24"/>
        </w:rPr>
        <w:t xml:space="preserve">drugiego stopnia oznaczają 1 błąd ortograficzny. </w:t>
      </w:r>
    </w:p>
    <w:p w:rsidR="00EE470B" w:rsidRPr="00EE470B" w:rsidRDefault="00EE470B" w:rsidP="001D357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 stopnia: </w:t>
      </w:r>
      <w:r>
        <w:rPr>
          <w:rFonts w:ascii="Times New Roman" w:hAnsi="Times New Roman" w:cs="Times New Roman"/>
          <w:sz w:val="24"/>
        </w:rPr>
        <w:t xml:space="preserve">błędny zapis: rz, ż, ó, u, ch, h - oznacza się je symbolem </w:t>
      </w:r>
      <w:r>
        <w:rPr>
          <w:rFonts w:ascii="Times New Roman" w:hAnsi="Times New Roman" w:cs="Times New Roman"/>
          <w:b/>
          <w:sz w:val="24"/>
        </w:rPr>
        <w:t>ort.</w:t>
      </w:r>
    </w:p>
    <w:p w:rsidR="00EE470B" w:rsidRPr="00EE470B" w:rsidRDefault="00EE470B" w:rsidP="001D357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 stopnia: </w:t>
      </w:r>
      <w:r>
        <w:rPr>
          <w:rFonts w:ascii="Times New Roman" w:hAnsi="Times New Roman" w:cs="Times New Roman"/>
          <w:sz w:val="24"/>
        </w:rPr>
        <w:t xml:space="preserve">błędny zapis wielka/mała litera, pisownia przeczeń, ą/om, ę/em – oznacza się je symbolem </w:t>
      </w:r>
      <w:r>
        <w:rPr>
          <w:rFonts w:ascii="Times New Roman" w:hAnsi="Times New Roman" w:cs="Times New Roman"/>
          <w:b/>
          <w:sz w:val="24"/>
        </w:rPr>
        <w:t xml:space="preserve">ort II. </w:t>
      </w:r>
    </w:p>
    <w:p w:rsidR="00EE470B" w:rsidRPr="00EE470B" w:rsidRDefault="00EE470B" w:rsidP="001D357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III stopnia: </w:t>
      </w:r>
      <w:r>
        <w:rPr>
          <w:rFonts w:ascii="Times New Roman" w:hAnsi="Times New Roman" w:cs="Times New Roman"/>
          <w:sz w:val="24"/>
        </w:rPr>
        <w:t xml:space="preserve">interpunkcyjne, literówki – oznacza się je symbolem </w:t>
      </w:r>
      <w:proofErr w:type="spellStart"/>
      <w:r>
        <w:rPr>
          <w:rFonts w:ascii="Times New Roman" w:hAnsi="Times New Roman" w:cs="Times New Roman"/>
          <w:b/>
          <w:sz w:val="24"/>
        </w:rPr>
        <w:t>int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. </w:t>
      </w:r>
    </w:p>
    <w:tbl>
      <w:tblPr>
        <w:tblStyle w:val="Tabela-Siatka"/>
        <w:tblW w:w="0" w:type="auto"/>
        <w:tblInd w:w="1980" w:type="dxa"/>
        <w:tblLook w:val="04A0" w:firstRow="1" w:lastRow="0" w:firstColumn="1" w:lastColumn="0" w:noHBand="0" w:noVBand="1"/>
      </w:tblPr>
      <w:tblGrid>
        <w:gridCol w:w="2835"/>
        <w:gridCol w:w="2268"/>
      </w:tblGrid>
      <w:tr w:rsidR="00A26702" w:rsidTr="0027620E">
        <w:tc>
          <w:tcPr>
            <w:tcW w:w="2835" w:type="dxa"/>
          </w:tcPr>
          <w:p w:rsidR="00A26702" w:rsidRPr="00A26702" w:rsidRDefault="00A26702" w:rsidP="00A267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6702">
              <w:rPr>
                <w:rFonts w:ascii="Times New Roman" w:hAnsi="Times New Roman" w:cs="Times New Roman"/>
                <w:b/>
                <w:sz w:val="24"/>
              </w:rPr>
              <w:t>Liczba błędów</w:t>
            </w:r>
          </w:p>
        </w:tc>
        <w:tc>
          <w:tcPr>
            <w:tcW w:w="2268" w:type="dxa"/>
          </w:tcPr>
          <w:p w:rsidR="00A26702" w:rsidRPr="00A26702" w:rsidRDefault="00A26702" w:rsidP="00A267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</w:t>
            </w:r>
            <w:r w:rsidRPr="00A26702">
              <w:rPr>
                <w:rFonts w:ascii="Times New Roman" w:hAnsi="Times New Roman" w:cs="Times New Roman"/>
                <w:b/>
                <w:sz w:val="24"/>
              </w:rPr>
              <w:t>cena</w:t>
            </w:r>
          </w:p>
        </w:tc>
      </w:tr>
      <w:tr w:rsidR="00CD4DC1" w:rsidTr="005C3F99">
        <w:tc>
          <w:tcPr>
            <w:tcW w:w="2835" w:type="dxa"/>
          </w:tcPr>
          <w:p w:rsidR="00CD4DC1" w:rsidRDefault="00CD4DC1" w:rsidP="00CD4D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 błędów</w:t>
            </w:r>
          </w:p>
        </w:tc>
        <w:tc>
          <w:tcPr>
            <w:tcW w:w="2268" w:type="dxa"/>
          </w:tcPr>
          <w:p w:rsidR="00CD4DC1" w:rsidRDefault="00CD4DC1" w:rsidP="00CD4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celujący</w:t>
            </w:r>
          </w:p>
        </w:tc>
      </w:tr>
      <w:tr w:rsidR="00CD4DC1" w:rsidTr="005C3F99">
        <w:tc>
          <w:tcPr>
            <w:tcW w:w="2835" w:type="dxa"/>
          </w:tcPr>
          <w:p w:rsidR="00CD4DC1" w:rsidRDefault="00CD4DC1" w:rsidP="00CD4D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CD4DC1" w:rsidRDefault="00CD4DC1" w:rsidP="00CD4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bardzo dobry +</w:t>
            </w:r>
          </w:p>
        </w:tc>
      </w:tr>
      <w:tr w:rsidR="00CD4DC1" w:rsidTr="005C3F99">
        <w:tc>
          <w:tcPr>
            <w:tcW w:w="2835" w:type="dxa"/>
          </w:tcPr>
          <w:p w:rsidR="00CD4DC1" w:rsidRDefault="00CD4DC1" w:rsidP="00CD4D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CD4DC1" w:rsidRDefault="00CD4DC1" w:rsidP="00CD4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bardzo dobry</w:t>
            </w:r>
          </w:p>
        </w:tc>
      </w:tr>
      <w:tr w:rsidR="00CD4DC1" w:rsidTr="005C3F99">
        <w:tc>
          <w:tcPr>
            <w:tcW w:w="2835" w:type="dxa"/>
          </w:tcPr>
          <w:p w:rsidR="00CD4DC1" w:rsidRDefault="00CD4DC1" w:rsidP="00CD4D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68" w:type="dxa"/>
          </w:tcPr>
          <w:p w:rsidR="00CD4DC1" w:rsidRDefault="00CD4DC1" w:rsidP="00CD4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dobry +</w:t>
            </w:r>
          </w:p>
        </w:tc>
      </w:tr>
      <w:tr w:rsidR="00CD4DC1" w:rsidTr="005C3F99">
        <w:tc>
          <w:tcPr>
            <w:tcW w:w="2835" w:type="dxa"/>
          </w:tcPr>
          <w:p w:rsidR="00CD4DC1" w:rsidRDefault="00CD4DC1" w:rsidP="00CD4D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CD4DC1" w:rsidRDefault="00CD4DC1" w:rsidP="00CD4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dobry</w:t>
            </w:r>
          </w:p>
        </w:tc>
      </w:tr>
      <w:tr w:rsidR="00CD4DC1" w:rsidTr="005C3F99">
        <w:tc>
          <w:tcPr>
            <w:tcW w:w="2835" w:type="dxa"/>
          </w:tcPr>
          <w:p w:rsidR="00CD4DC1" w:rsidRDefault="00CD4DC1" w:rsidP="00CD4D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CD4DC1" w:rsidRDefault="00CD4DC1" w:rsidP="00CD4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dostateczny +</w:t>
            </w:r>
          </w:p>
        </w:tc>
      </w:tr>
      <w:tr w:rsidR="00CD4DC1" w:rsidTr="005C3F99">
        <w:tc>
          <w:tcPr>
            <w:tcW w:w="2835" w:type="dxa"/>
          </w:tcPr>
          <w:p w:rsidR="00CD4DC1" w:rsidRDefault="00CD4DC1" w:rsidP="00CD4D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</w:tcPr>
          <w:p w:rsidR="00CD4DC1" w:rsidRDefault="00CD4DC1" w:rsidP="00CD4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dostateczny</w:t>
            </w:r>
          </w:p>
        </w:tc>
      </w:tr>
      <w:tr w:rsidR="00CD4DC1" w:rsidTr="005C3F99">
        <w:tc>
          <w:tcPr>
            <w:tcW w:w="2835" w:type="dxa"/>
          </w:tcPr>
          <w:p w:rsidR="00CD4DC1" w:rsidRDefault="00CD4DC1" w:rsidP="00CD4D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268" w:type="dxa"/>
          </w:tcPr>
          <w:p w:rsidR="00CD4DC1" w:rsidRDefault="00CD4DC1" w:rsidP="00CD4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dopuszczający +</w:t>
            </w:r>
          </w:p>
        </w:tc>
      </w:tr>
      <w:tr w:rsidR="00CD4DC1" w:rsidTr="00CD4DC1">
        <w:trPr>
          <w:trHeight w:val="96"/>
        </w:trPr>
        <w:tc>
          <w:tcPr>
            <w:tcW w:w="2835" w:type="dxa"/>
          </w:tcPr>
          <w:p w:rsidR="00CD4DC1" w:rsidRDefault="00CD4DC1" w:rsidP="00CD4D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</w:tcPr>
          <w:p w:rsidR="00CD4DC1" w:rsidRDefault="00CD4DC1" w:rsidP="00CD4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dopuszczający</w:t>
            </w:r>
          </w:p>
        </w:tc>
      </w:tr>
      <w:tr w:rsidR="00CD4DC1" w:rsidTr="005C3F99">
        <w:tc>
          <w:tcPr>
            <w:tcW w:w="2835" w:type="dxa"/>
          </w:tcPr>
          <w:p w:rsidR="00CD4DC1" w:rsidRDefault="00CD4DC1" w:rsidP="00CD4D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8" w:type="dxa"/>
          </w:tcPr>
          <w:p w:rsidR="00CD4DC1" w:rsidRDefault="00CD4DC1" w:rsidP="00CD4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niedostateczny</w:t>
            </w:r>
          </w:p>
        </w:tc>
      </w:tr>
    </w:tbl>
    <w:p w:rsidR="00EE470B" w:rsidRDefault="00EE470B" w:rsidP="00EE470B">
      <w:pPr>
        <w:jc w:val="both"/>
        <w:rPr>
          <w:rFonts w:ascii="Times New Roman" w:hAnsi="Times New Roman" w:cs="Times New Roman"/>
          <w:sz w:val="24"/>
        </w:rPr>
      </w:pPr>
    </w:p>
    <w:p w:rsidR="00421702" w:rsidRPr="00952409" w:rsidRDefault="00421702" w:rsidP="00952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3"/>
          <w:lang w:eastAsia="pl-PL"/>
        </w:rPr>
      </w:pPr>
    </w:p>
    <w:p w:rsidR="00F54AD3" w:rsidRDefault="00F54AD3" w:rsidP="00945D37">
      <w:pPr>
        <w:jc w:val="right"/>
        <w:rPr>
          <w:rFonts w:ascii="Times New Roman" w:hAnsi="Times New Roman" w:cs="Times New Roman"/>
          <w:sz w:val="24"/>
        </w:rPr>
      </w:pPr>
    </w:p>
    <w:p w:rsidR="00945D37" w:rsidRPr="00945D37" w:rsidRDefault="00945D37" w:rsidP="00945D3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………………………………...</w:t>
      </w:r>
    </w:p>
    <w:sectPr w:rsidR="00945D37" w:rsidRPr="00945D37" w:rsidSect="004A48EB">
      <w:pgSz w:w="11906" w:h="16838"/>
      <w:pgMar w:top="426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7A21"/>
    <w:multiLevelType w:val="hybridMultilevel"/>
    <w:tmpl w:val="0BD2C098"/>
    <w:lvl w:ilvl="0" w:tplc="6E2E5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0081F"/>
    <w:multiLevelType w:val="hybridMultilevel"/>
    <w:tmpl w:val="9A007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43F20"/>
    <w:multiLevelType w:val="hybridMultilevel"/>
    <w:tmpl w:val="CB04E592"/>
    <w:lvl w:ilvl="0" w:tplc="6E2E5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D6FE0"/>
    <w:multiLevelType w:val="hybridMultilevel"/>
    <w:tmpl w:val="008689AA"/>
    <w:lvl w:ilvl="0" w:tplc="6E2E5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C7B84"/>
    <w:multiLevelType w:val="hybridMultilevel"/>
    <w:tmpl w:val="B19A0FA8"/>
    <w:lvl w:ilvl="0" w:tplc="6E2E5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F1AF1"/>
    <w:multiLevelType w:val="hybridMultilevel"/>
    <w:tmpl w:val="99F6D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79B"/>
    <w:rsid w:val="000E0181"/>
    <w:rsid w:val="00105DF2"/>
    <w:rsid w:val="001D3579"/>
    <w:rsid w:val="001E22BC"/>
    <w:rsid w:val="00270EE7"/>
    <w:rsid w:val="0027620E"/>
    <w:rsid w:val="00297556"/>
    <w:rsid w:val="002C4EB3"/>
    <w:rsid w:val="003C0E82"/>
    <w:rsid w:val="003D3254"/>
    <w:rsid w:val="00421702"/>
    <w:rsid w:val="0045070D"/>
    <w:rsid w:val="004800DA"/>
    <w:rsid w:val="004A48EB"/>
    <w:rsid w:val="004C6878"/>
    <w:rsid w:val="0052179B"/>
    <w:rsid w:val="00613E8D"/>
    <w:rsid w:val="00651260"/>
    <w:rsid w:val="00667557"/>
    <w:rsid w:val="006A4CE7"/>
    <w:rsid w:val="007336D1"/>
    <w:rsid w:val="007B01A2"/>
    <w:rsid w:val="007C60EA"/>
    <w:rsid w:val="0087168A"/>
    <w:rsid w:val="008C29DB"/>
    <w:rsid w:val="00945D37"/>
    <w:rsid w:val="00952409"/>
    <w:rsid w:val="0097674D"/>
    <w:rsid w:val="009C0B62"/>
    <w:rsid w:val="00A26702"/>
    <w:rsid w:val="00B30069"/>
    <w:rsid w:val="00C8581B"/>
    <w:rsid w:val="00CB6B8C"/>
    <w:rsid w:val="00CD4DC1"/>
    <w:rsid w:val="00D54947"/>
    <w:rsid w:val="00D94C6D"/>
    <w:rsid w:val="00EE470B"/>
    <w:rsid w:val="00F54AD3"/>
    <w:rsid w:val="00F56101"/>
    <w:rsid w:val="00F5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C0E06-A3A1-491F-876F-CAE886FD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675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4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</Pages>
  <Words>1294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9</cp:revision>
  <cp:lastPrinted>2019-08-29T17:38:00Z</cp:lastPrinted>
  <dcterms:created xsi:type="dcterms:W3CDTF">2019-08-27T21:14:00Z</dcterms:created>
  <dcterms:modified xsi:type="dcterms:W3CDTF">2019-09-02T18:55:00Z</dcterms:modified>
</cp:coreProperties>
</file>